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/>
      </w:pPr>
    </w:p>
    <w:p>
      <w:pPr>
        <w:spacing w:after="320"/>
      </w:pPr>
    </w:p>
    <w:p>
      <w:pPr>
        <w:spacing w:after="320"/>
      </w:pPr>
    </w:p>
    <w:p>
      <w:pPr>
        <w:spacing w:after="320"/>
      </w:pPr>
    </w:p>
    <w:p>
      <w:pPr>
        <w:spacing w:after="360"/>
        <w:jc w:val="center"/>
      </w:pPr>
      <w:r>
        <w:rPr>
          <w:rFonts w:ascii="Archivo" w:hAnsi="Archivo"/>
          <w:b/>
          <w:color w:val="8A6D1D"/>
          <w:sz w:val="20"/>
        </w:rPr>
        <w:t>EL GRADIENTE RESEARCH TRAIL · DOCUMENTO DE REVISIÓN</w:t>
      </w:r>
    </w:p>
    <w:p>
      <w:pPr>
        <w:pStyle w:val="Title"/>
        <w:jc w:val="center"/>
      </w:pPr>
      <w:r>
        <w:t>Cuestionario candidato</w:t>
        <w:br/>
        <w:t>y mapa de patrones</w:t>
      </w:r>
    </w:p>
    <w:p>
      <w:pPr>
        <w:pStyle w:val="Subtitle"/>
        <w:jc w:val="center"/>
      </w:pPr>
      <w:r>
        <w:t>Primera arquitectura para “Explorar las señales de mi relación”</w:t>
      </w:r>
    </w:p>
    <w:p>
      <w:pPr>
        <w:spacing w:before="680" w:after="80"/>
        <w:jc w:val="center"/>
      </w:pPr>
      <w:r>
        <w:rPr>
          <w:rFonts w:ascii="Archivo" w:hAnsi="Archivo"/>
          <w:b/>
          <w:color w:val="1F4D78"/>
          <w:sz w:val="22"/>
        </w:rPr>
        <w:t>Preparado para la Dra. Martha Alicia Tronco Rosas</w:t>
      </w:r>
    </w:p>
    <w:p>
      <w:pPr>
        <w:spacing w:after="40"/>
        <w:jc w:val="center"/>
      </w:pPr>
      <w:r>
        <w:rPr>
          <w:rFonts w:ascii="Archivo" w:hAnsi="Archivo"/>
          <w:color w:val="5F6B76"/>
          <w:sz w:val="19"/>
        </w:rPr>
        <w:t>Investigadora principal · revisión experta de esta versión</w:t>
      </w:r>
    </w:p>
    <w:p>
      <w:pPr>
        <w:spacing w:after="40"/>
        <w:jc w:val="center"/>
      </w:pPr>
      <w:r>
        <w:rPr>
          <w:rFonts w:ascii="Archivo" w:hAnsi="Archivo"/>
          <w:b/>
          <w:color w:val="1F4D78"/>
          <w:sz w:val="22"/>
        </w:rPr>
        <w:t>Anna Paretas-Artacho · TEG-Blue</w:t>
      </w:r>
    </w:p>
    <w:p>
      <w:pPr>
        <w:jc w:val="center"/>
      </w:pPr>
      <w:r>
        <w:rPr>
          <w:rFonts w:ascii="Archivo" w:hAnsi="Archivo"/>
          <w:color w:val="5F6B76"/>
          <w:sz w:val="19"/>
        </w:rPr>
        <w:t>Dirección del programa, producto y marco</w:t>
      </w:r>
    </w:p>
    <w:p>
      <w:pPr>
        <w:jc w:val="center"/>
      </w:pPr>
      <w:r>
        <w:rPr>
          <w:rFonts w:ascii="Archivo" w:hAnsi="Archivo"/>
          <w:color w:val="5F6B76"/>
          <w:sz w:val="19"/>
        </w:rPr>
        <w:t>Versión candidata 0.1 · 1 de septiembre de 2026</w:t>
      </w:r>
    </w:p>
    <w:p>
      <w:pPr>
        <w:spacing w:before="840"/>
        <w:jc w:val="center"/>
      </w:pPr>
      <w:r>
        <w:rPr>
          <w:rFonts w:ascii="Archivo" w:hAnsi="Archivo"/>
          <w:i/>
          <w:color w:val="5F6B76"/>
          <w:sz w:val="18"/>
        </w:rPr>
        <w:t>Artefacto de investigación. No incluye respuestas ni datos personales.</w:t>
      </w:r>
    </w:p>
    <w:p>
      <w:r>
        <w:br w:type="page"/>
      </w:r>
    </w:p>
    <w:p>
      <w:pPr>
        <w:pStyle w:val="Heading1"/>
      </w:pPr>
      <w:r>
        <w:t>Antes de empezar</w:t>
      </w:r>
    </w:p>
    <w:p>
      <w:r>
        <w:t>Este documento presenta una primera arquitectura candidata. La fuente vigente permanece separada: las preguntas C-001 a C-013 son propuestas y todavía pueden cambiar. La revisión busca comprobar si cada pregunta es clara, contestable y suficientemente específica antes de cualquier prueba o publicación.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1" w:color="E8EEF5"/>
              <w:start w:val="single" w:sz="1" w:color="E8EEF5"/>
              <w:bottom w:val="single" w:sz="1" w:color="E8EEF5"/>
              <w:end w:val="single" w:sz="1" w:color="E8EEF5"/>
              <w:insideH w:val="single" w:sz="1" w:color="E8EEF5"/>
              <w:insideV w:val="single" w:sz="1" w:color="E8EEF5"/>
            </w:tcBorders>
          </w:tcPr>
          <w:p>
            <w:pPr>
              <w:spacing w:after="40" w:line="283" w:lineRule="auto"/>
            </w:pPr>
            <w:r>
              <w:rPr>
                <w:rFonts w:ascii="Archivo" w:hAnsi="Archivo"/>
                <w:b/>
                <w:color w:val="1F4D78"/>
                <w:sz w:val="17"/>
              </w:rPr>
              <w:t>CÓMO USARLO</w:t>
            </w:r>
          </w:p>
          <w:p>
            <w:pPr>
              <w:spacing w:before="0" w:after="0" w:line="288" w:lineRule="auto"/>
            </w:pPr>
            <w:r>
              <w:rPr>
                <w:rFonts w:ascii="Archivo" w:hAnsi="Archivo"/>
                <w:color w:val="17212B"/>
                <w:sz w:val="20"/>
              </w:rPr>
              <w:t>Lea primero las preguntas candidatas y marque cuáles conviene mantener o revisar. Después examine el mapa completo de los 54 patrones. “Directa” significa que la pregunta nombra la conducta; “de familia” significa que la abarca sin identificarla por separado. Puede anotar dudas, solapamientos o una redacción alternativa.</w:t>
            </w:r>
          </w:p>
        </w:tc>
      </w:tr>
    </w:tbl>
    <w:p>
      <w:pPr>
        <w:spacing w:after="40"/>
      </w:pPr>
    </w:p>
    <w:p>
      <w:pPr>
        <w:pStyle w:val="Heading2"/>
      </w:pPr>
      <w:r>
        <w:t>Lo que cambia</w:t>
      </w:r>
    </w:p>
    <w:p>
      <w:r>
        <w:t>La herramienta vigente tiene 12 preguntas principales. El candidato propone 13 y conserva hasta tres preguntas condicionales de seguridad. Combina dos pares que se solapan, amplía dos preguntas y añade tres familias: retirada como castigo, ausencia de reparación y exposición digital.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42"/>
              </w:rPr>
              <w:t>38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42"/>
              </w:rPr>
              <w:t>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42"/>
              </w:rPr>
              <w:t>7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7212B"/>
                <w:sz w:val="18"/>
              </w:rPr>
              <w:t>Representación directa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7212B"/>
                <w:sz w:val="18"/>
              </w:rPr>
              <w:t>Representación de familia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tcBorders>
              <w:top w:val="single" w:sz="8" w:color="FFFFFF"/>
              <w:start w:val="single" w:sz="8" w:color="FFFFFF"/>
              <w:bottom w:val="single" w:sz="8" w:color="FFFFFF"/>
              <w:end w:val="single" w:sz="8" w:color="FFFFFF"/>
              <w:insideH w:val="single" w:sz="8" w:color="FFFFFF"/>
              <w:insideV w:val="single" w:sz="8" w:color="FFFFF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7212B"/>
                <w:sz w:val="18"/>
              </w:rPr>
              <w:t>Fuera del candidato</w:t>
            </w:r>
          </w:p>
        </w:tc>
      </w:tr>
    </w:tbl>
    <w:p>
      <w:pPr>
        <w:spacing w:before="160"/>
      </w:pPr>
      <w:r>
        <w:rPr>
          <w:rFonts w:ascii="Archivo" w:hAnsi="Archivo"/>
          <w:i/>
          <w:color w:val="5F6B76"/>
          <w:sz w:val="18"/>
        </w:rPr>
        <w:t>Los números describen la representación prevista en el borrador. No miden calidad, gravedad, prevalencia, validez clínica ni capacidad predictiva.</w:t>
      </w:r>
    </w:p>
    <w:p>
      <w:pPr>
        <w:pStyle w:val="Heading2"/>
      </w:pPr>
      <w:r>
        <w:t>Criterio de lectura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9"/>
              </w:rPr>
              <w:t>Directa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la pregunta nombra la conducta o sus elementos centrales.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9"/>
              </w:rPr>
              <w:t>De familia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la conducta cabe en un paraguas observable, pero no se identifica por separado.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9"/>
              </w:rPr>
              <w:t>Fuera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el candidato no pretende representar ese patrón en esta revisión.</w:t>
            </w:r>
          </w:p>
        </w:tc>
      </w:tr>
    </w:tbl>
    <w:p>
      <w:pPr>
        <w:pStyle w:val="Heading2"/>
      </w:pPr>
      <w:r>
        <w:t>Opciones de respuesta</w:t>
      </w:r>
    </w:p>
    <w:p>
      <w:pPr>
        <w:spacing w:before="0" w:after="120" w:line="288" w:lineRule="auto"/>
      </w:pPr>
      <w:r>
        <w:rPr>
          <w:rFonts w:ascii="Archivo" w:hAnsi="Archivo"/>
          <w:b/>
          <w:color w:val="1F4D78"/>
          <w:sz w:val="20"/>
        </w:rPr>
        <w:t xml:space="preserve">C-001 a C-003 y C-005 a C-012: </w:t>
      </w:r>
      <w:r>
        <w:rPr>
          <w:rFonts w:ascii="Archivo" w:hAnsi="Archivo"/>
          <w:color w:val="17212B"/>
          <w:sz w:val="20"/>
        </w:rPr>
        <w:t>No · No estoy segura o seguro · Sí, una vez · Sí, más de una vez · Prefiero no responder</w:t>
      </w:r>
    </w:p>
    <w:p>
      <w:pPr>
        <w:spacing w:before="0" w:after="120" w:line="288" w:lineRule="auto"/>
      </w:pPr>
      <w:r>
        <w:rPr>
          <w:rFonts w:ascii="Archivo" w:hAnsi="Archivo"/>
          <w:b/>
          <w:color w:val="1F4D78"/>
          <w:sz w:val="20"/>
        </w:rPr>
        <w:t xml:space="preserve">C-004, C-013 y CS-001 a CS-003: </w:t>
      </w:r>
      <w:r>
        <w:rPr>
          <w:rFonts w:ascii="Archivo" w:hAnsi="Archivo"/>
          <w:color w:val="17212B"/>
          <w:sz w:val="20"/>
        </w:rPr>
        <w:t>No · No estoy segura o seguro · Sí · Prefiero no responder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BF5E6"/>
            <w:tcBorders>
              <w:top w:val="single" w:sz="1" w:color="FBF5E6"/>
              <w:start w:val="single" w:sz="1" w:color="FBF5E6"/>
              <w:bottom w:val="single" w:sz="1" w:color="FBF5E6"/>
              <w:end w:val="single" w:sz="1" w:color="FBF5E6"/>
              <w:insideH w:val="single" w:sz="1" w:color="FBF5E6"/>
              <w:insideV w:val="single" w:sz="1" w:color="FBF5E6"/>
            </w:tcBorders>
          </w:tcPr>
          <w:p>
            <w:pPr>
              <w:spacing w:after="40" w:line="283" w:lineRule="auto"/>
            </w:pPr>
            <w:r>
              <w:rPr>
                <w:rFonts w:ascii="Archivo" w:hAnsi="Archivo"/>
                <w:b/>
                <w:color w:val="8A6D1D"/>
                <w:sz w:val="17"/>
              </w:rPr>
              <w:t>LÍMITE DE USO</w:t>
            </w:r>
          </w:p>
          <w:p>
            <w:pPr>
              <w:spacing w:before="0" w:after="0" w:line="288" w:lineRule="auto"/>
            </w:pPr>
            <w:r>
              <w:rPr>
                <w:rFonts w:ascii="Archivo" w:hAnsi="Archivo"/>
                <w:color w:val="17212B"/>
                <w:sz w:val="20"/>
              </w:rPr>
              <w:t>El candidato sigue siendo una herramienta educativa y no diagnóstica. No asigna una identidad, no calcula un nivel clínico y no predice qué ocurrirá. Ninguna redacción está aprobada para el sitio público.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Parte I · Las preguntas candidatas</w:t>
      </w:r>
    </w:p>
    <w:p>
      <w:r>
        <w:t>Cada bloque muestra el texto propuesto, los patrones que pretende representar y el principal asunto que conviene comprobar. Una correspondencia prevista sigue siendo una decisión de diseño, no un resultado validado.</w:t>
      </w:r>
    </w:p>
    <w:p>
      <w:pPr>
        <w:pStyle w:val="Heading2"/>
      </w:pPr>
      <w:r>
        <w:t>C-001 · Libertad ante la reacción de la otra persona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¿Has dejado de decir lo que piensas, decir no, tomar decisiones, vestir como quieres, ver a alguien o terminar la relación porque temías cómo reaccionaría esa persona?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Correspondencia prevista: </w:t>
      </w:r>
      <w:r>
        <w:rPr>
          <w:rFonts w:ascii="Archivo" w:hAnsi="Archivo"/>
          <w:color w:val="17212B"/>
          <w:sz w:val="20"/>
        </w:rPr>
        <w:t>16 Control coercitivo; 31 Intimidar; 32 Controlar, prohibir.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combina Q-001 y Q-002. Conserva tanto la adaptación de la propia conducta como el miedo a poner límites o salir.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la lista es larga. En pruebas cognitivas se debe comprobar si la persona puede dar una sola respuesta cuando algunos ejemplos ocurrieron y otros no.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C-002 · Ridiculización, culpa e invalidación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¿Te ha ridiculizado, criticado, culpado o hecho dudar repetidamente de tu memoria o criterio, o ha tratado tus sentimientos o necesidades como una exageración o un problema?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4 Bromas hirientes; 5 Gaslighting; 7 Invalidación emocional; 8 Convertir necesidades en exigencias; 10 Crítica constante; 20 Culpabilizar; 22 Descalificar.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21 Scapegoating; 23 Ridiculizar, ofender, humillar en público; 24 Humillar en público; 30 Shaming.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amplía Q-003 para incluir lo que ocurre cuando la persona expresa sentimientos o necesidades. No crea una pregunta separada por cada forma de degradación.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una respuesta afirmativa no identifica qué conducta ocurrió. El resultado sólo puede nombrar la familia.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C-003 · Silencio o afecto retirado como castigo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dejado de hablarte o retirado el cariño o la cercanía para castigarte, presionarte o conseguir que cambies lo que haces?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11 Indiferencia, ley del hielo; 15 Retirar afecto como castigo.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6 Chantajear.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Información nueva: </w:t>
      </w:r>
      <w:r>
        <w:rPr>
          <w:rFonts w:ascii="Archivo" w:hAnsi="Archivo"/>
          <w:color w:val="5F6B76"/>
          <w:sz w:val="20"/>
        </w:rPr>
        <w:t>distingue una pausa o necesidad de espacio de la retirada usada para condicionar la conducta.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`para castigarte` puede exigir inferir intención. Las pruebas deben comprobar si `te hizo sentir que sólo volvería a hablarte si cedías` resulta más contestable sin volver la pregunta más larga.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C-004 · Daño sin responsabilidad ni cambio sostenido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Cuando le dices que una conducta te hizo daño, ¿evita hacerse responsable —por ejemplo, minimiza lo ocurrido, dice que es normal, te culpa o promete cambiar pero la conducta se repite—?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9 Normalizar el daño; 18 Rechazar responsabilidad; 19 Prometer cambiar sin hacerlo; 20 Culpabilizar.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Información nueva: </w:t>
      </w:r>
      <w:r>
        <w:rPr>
          <w:rFonts w:ascii="Archivo" w:hAnsi="Archivo"/>
          <w:color w:val="5F6B76"/>
          <w:sz w:val="20"/>
        </w:rPr>
        <w:t>observa la secuencia posterior al daño, no sólo un incidente. Por eso usa respuestas sin frecuencia.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no todas las personas han intentado hablar del daño. Se debe probar si hace falta una opción `No he hablado de esto` para evitar que `No` mezcle dos situaciones distintas.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C-005 · Celos, reglas y prohibiciones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usado celos, reglas o prohibiciones para controlar a quién ves, dónde vas, cómo vistes, tu atención médica, tu trabajo, tus estudios u otras decisiones cotidianas?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12 Celar; 16 Control coercitivo; 32 Controlar, prohibir; 33 Prohibir trabajar o estudiar; 34 Aislar de amistades y familia.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concentra Q-004 en autonomía y aislamiento. El control económico permanece en C-007.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se debe comprobar que `ha usado celos` se entiende como una conducta de control, no como la existencia de una emoción.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C-006 · Vigilancia, seguimiento o contacto no deseado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revisado o vigilado tu teléfono, mensajes, cuentas, contraseñas, ubicación o dispositivos, o te ha contactado repetidamente, seguido, rastreado o aparecido donde estabas de una forma no deseada o que te hizo sentir insegura o inseguro, incluso después de una separación?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25 Stalkear; 26 Vigilancia digital.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27 Orbiting; 16 Control coercitivo.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combina Q-005 y Q-011 alrededor de vigilancia y presencia no consentidas.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reúne vigilancia de dispositivos y seguimiento físico. Si las personas necesitan respuestas distintas, deberá dividirse.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C-007 · Control económico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controlado el dinero, impedido que trabajes, retenido cosas necesarias, creado deudas a tu nombre o excluido tu participación en decisiones económicas?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16 Control coercitivo; 32 Controlar, prohibir; 33 Prohibir trabajar o estudiar; 35 Control económico.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conserva Q-006. Sigue separada porque la dependencia económica puede limitar opciones aunque no existan otras prohibiciones visibles.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C-008 · Coerción sexual o reproductiva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¿Te ha presionado, manipulado u obligado a realizar alguna actividad sexual, te ha tocado sexualmente sin tu consentimiento o ha interferido con la anticoncepción o decisiones sobre un embarazo?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49 Forzar una relación sexual; 50 Abuso sexual.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51 Violar.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Fenómeno sin patrón dedicado: </w:t>
      </w:r>
      <w:r>
        <w:rPr>
          <w:rFonts w:ascii="Archivo" w:hAnsi="Archivo"/>
          <w:color w:val="5F6B76"/>
          <w:sz w:val="20"/>
        </w:rPr>
        <w:t>coerción reproductiva.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mantiene Q-007 y hace explícito el contacto sexual sin consentimiento.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la pregunta reúne actividad sexual y decisiones reproductivas porque ambas requieren la misma prioridad de orientación, pero algunas personas pueden necesitar respuestas distintas.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C-009 · Acoso y exposición digital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usado internet o mensajes para acosarte, difundir rumores, o compartir o amenazar con compartir imágenes íntimas, información sexual o datos privados sin tu permiso, para exponerte, asustarte o presionarte?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28 Sextorsión; 29 Ciberacoso; 37 Difundir contenido íntimo sin consentimiento; 38 Doxing.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Información nueva: </w:t>
      </w:r>
      <w:r>
        <w:rPr>
          <w:rFonts w:ascii="Archivo" w:hAnsi="Archivo"/>
          <w:color w:val="5F6B76"/>
          <w:sz w:val="20"/>
        </w:rPr>
        <w:t>distingue exposición o amenaza de publicación de la vigilancia preguntada en C-006.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no toda difusión de rumores tiene el mismo riesgo que la sextorsión o el doxing. El resultado debe poder priorizar la orientación sin pedir qué material fue compartido.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C-010 · Intimidación y restricción física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¿Te ha intimidado bloqueando una salida, destruyendo cosas, haciendo daño a animales, conduciendo de forma peligrosa, mostrando un arma o actuando como si pudiera hacerte daño?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31 Intimidar; 36 Destruir artículos personales; 47 Amenazar con objetos o armas.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16 Control coercitivo; 46 Encerrar y aislar.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Fenómeno sin patrón dedicado: </w:t>
      </w:r>
      <w:r>
        <w:rPr>
          <w:rFonts w:ascii="Archivo" w:hAnsi="Archivo"/>
          <w:color w:val="5F6B76"/>
          <w:sz w:val="20"/>
        </w:rPr>
        <w:t>daño a animales y conducción peligrosa.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conserva Q-008 porque cada ejemplo puede comunicar peligro aunque no haya una amenaza verbal.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C-011 · Contacto o daño físico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¿Te ha tocado de forma agresiva o sin tu consentimiento, pellizcado, arañado, empujado, inmovilizado, abofeteado, golpeado, pateado, quemado, presionado el cuello o lastimado físicamente de otra forma, aunque lo presentara como juego o cariño?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39 Manosear, caricias agresivas; 40 Caricias agresivas; 41 Golpear jugando, pellizcar o arañar; 42 Pellizcar, arañar; 43 Empujar, jalonear, cachetear y/o patear; 44 Cachetear; 45 Patear.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52 Mutilar; 53 Ataques con ácido o sustancias corrosivas.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Fenómeno sin patrón dedicado: </w:t>
      </w:r>
      <w:r>
        <w:rPr>
          <w:rFonts w:ascii="Archivo" w:hAnsi="Archivo"/>
          <w:color w:val="5F6B76"/>
          <w:sz w:val="20"/>
        </w:rPr>
        <w:t>quemar, estrangular o asfixiar.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amplía Q-009 para hacer visible el daño minimizado como juego o cariño. Los patrones 52 y 53 quedan bajo el paraguas de lesión física; una respuesta no permite identificarlos.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Qué conviene revisar: </w:t>
      </w:r>
      <w:r>
        <w:rPr>
          <w:rFonts w:ascii="Archivo" w:hAnsi="Archivo"/>
          <w:color w:val="8B3A3A"/>
          <w:sz w:val="20"/>
        </w:rPr>
        <w:t>es la pregunta más larga y emocionalmente intensa. Se debe probar una presentación con una frase principal corta y ejemplos visibles sin ocultar conductas importantes.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C-012 · Amenazas que producen miedo o presión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amenazado con hacerte daño o matarte, hacerse daño, o dañar a tus hijas o hijos, a otra persona o a un animal de una forma que te asustó o te presionó para cambiar lo que hacías?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6 Chantajear; 31 Intimidar; 48 Amenazar de muerte.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16 Control coercitivo.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conserva Q-010. No se combina con C-010 porque una amenaza verbal puede existir sin destrucción, bloqueo o exhibición de armas.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C-013 · Escalada reciente</w:t>
      </w:r>
    </w:p>
    <w:p>
      <w:pPr>
        <w:spacing w:before="20" w:after="10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¿Su conducta se ha vuelto recientemente más frecuente, impredecible, aterradora o grave?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Cambio frente a la línea base: </w:t>
      </w:r>
      <w:r>
        <w:rPr>
          <w:rFonts w:ascii="Archivo" w:hAnsi="Archivo"/>
          <w:color w:val="5F6B76"/>
          <w:sz w:val="20"/>
        </w:rPr>
        <w:t>conserva Q-012 y usa respuestas sin frecuencia.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Función: </w:t>
      </w:r>
      <w:r>
        <w:rPr>
          <w:rFonts w:ascii="Archivo" w:hAnsi="Archivo"/>
          <w:color w:val="5F6B76"/>
          <w:sz w:val="20"/>
        </w:rPr>
        <w:t>modifica la prioridad del resultado; no representa un patrón específico de los 54.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1"/>
      </w:pPr>
      <w:r>
        <w:t>Preguntas condicionales de seguridad</w:t>
      </w:r>
    </w:p>
    <w:p>
      <w:r>
        <w:t>Estas preguntas sólo aparecen después de una respuesta afirmativa relacionada. Se conservan porque cada respuesta cambia de forma concreta el mensaje de seguridad.</w:t>
      </w:r>
    </w:p>
    <w:p>
      <w:pPr>
        <w:pStyle w:val="Heading2"/>
      </w:pPr>
      <w:r>
        <w:t>CS-001 · Presión en el cuello o dificultad para respirar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Se activa cuando: </w:t>
      </w:r>
      <w:r>
        <w:rPr>
          <w:rFonts w:ascii="Archivo" w:hAnsi="Archivo"/>
          <w:color w:val="5F6B76"/>
          <w:sz w:val="20"/>
        </w:rPr>
        <w:t>C-011 tiene una respuesta afirmativa.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¿Alguna vez ha presionado tu cuello, te ha estrangulado o ha dificultado que respires?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Función: </w:t>
      </w:r>
      <w:r>
        <w:rPr>
          <w:rFonts w:ascii="Archivo" w:hAnsi="Archivo"/>
          <w:color w:val="5F6B76"/>
          <w:sz w:val="20"/>
        </w:rPr>
        <w:t>priorizar una explicación médica y de seguridad aunque no haya marcas visibles. No corresponde a un patrón dedicado del inventario.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CS-002 · Acceso y uso de armas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Se activa cuando: </w:t>
      </w:r>
      <w:r>
        <w:rPr>
          <w:rFonts w:ascii="Archivo" w:hAnsi="Archivo"/>
          <w:color w:val="5F6B76"/>
          <w:sz w:val="20"/>
        </w:rPr>
        <w:t>C-010 o C-012 tiene una respuesta afirmativa.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¿Tiene acceso a una pistola u otra arma que haya usado o amenazado con usar?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47 Amenazar con objetos o armas.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pPr>
        <w:pStyle w:val="Heading2"/>
      </w:pPr>
      <w:r>
        <w:t>CS-003 · Amenaza concreta de muerte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Se activa cuando: </w:t>
      </w:r>
      <w:r>
        <w:rPr>
          <w:rFonts w:ascii="Archivo" w:hAnsi="Archivo"/>
          <w:color w:val="5F6B76"/>
          <w:sz w:val="20"/>
        </w:rPr>
        <w:t>C-012 tiene una respuesta afirmativa.</w:t>
      </w:r>
    </w:p>
    <w:p>
      <w:pPr>
        <w:spacing w:before="0" w:after="80" w:line="288" w:lineRule="auto"/>
      </w:pPr>
      <w:r>
        <w:rPr>
          <w:rFonts w:ascii="Archivo" w:hAnsi="Archivo"/>
          <w:b/>
          <w:color w:val="1F4D78"/>
          <w:sz w:val="20"/>
        </w:rPr>
        <w:t xml:space="preserve">Pregunta: </w:t>
      </w:r>
      <w:r>
        <w:rPr>
          <w:rFonts w:ascii="Archivo" w:hAnsi="Archivo"/>
          <w:color w:val="17212B"/>
          <w:sz w:val="20"/>
        </w:rPr>
        <w:t>¿Ha amenazado de forma concreta con matarte, matarse, matar a tus hijas o hijos, a otra persona o a un animal?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directa: </w:t>
      </w:r>
      <w:r>
        <w:rPr>
          <w:rFonts w:ascii="Archivo" w:hAnsi="Archivo"/>
          <w:color w:val="17212B"/>
          <w:sz w:val="20"/>
        </w:rPr>
        <w:t>48 Amenazar de muerte.</w:t>
      </w:r>
    </w:p>
    <w:p>
      <w:pPr>
        <w:spacing w:before="0" w:after="60" w:line="288" w:lineRule="auto"/>
      </w:pPr>
      <w:r>
        <w:rPr>
          <w:rFonts w:ascii="Archivo" w:hAnsi="Archivo"/>
          <w:b/>
          <w:color w:val="1F4D78"/>
          <w:sz w:val="20"/>
        </w:rPr>
        <w:t xml:space="preserve">Representación de familia: </w:t>
      </w:r>
      <w:r>
        <w:rPr>
          <w:rFonts w:ascii="Archivo" w:hAnsi="Archivo"/>
          <w:color w:val="8A6D1D"/>
          <w:sz w:val="20"/>
        </w:rPr>
        <w:t>31 Intimidar; 6 Chantajear.</w:t>
      </w:r>
    </w:p>
    <w:p>
      <w:pPr>
        <w:keepNext w:val="0"/>
        <w:spacing w:before="40" w:after="200"/>
      </w:pPr>
      <w:r>
        <w:rPr>
          <w:rFonts w:ascii="Archivo" w:hAnsi="Archivo"/>
          <w:i/>
          <w:color w:val="5F6B76"/>
          <w:sz w:val="18"/>
        </w:rPr>
        <w:t>Revisión de Martha:  □ Mantener   □ Revisar   Observación: ______________________________</w:t>
      </w:r>
    </w:p>
    <w:p>
      <w:r>
        <w:br w:type="page"/>
      </w:r>
    </w:p>
    <w:p>
      <w:pPr>
        <w:pStyle w:val="Heading1"/>
      </w:pPr>
      <w:r>
        <w:t>Parte II · Mapa completo de los 54 patrones</w:t>
      </w:r>
    </w:p>
    <w:p>
      <w:r>
        <w:t>Las tablas conservan el orden, el nivel, el nombre y la descripción breve del sitio. La última columna muestra la relación que el candidato pretende establecer.</w:t>
      </w:r>
    </w:p>
    <w:p>
      <w:pPr>
        <w:pStyle w:val="Heading2"/>
      </w:pPr>
      <w:r>
        <w:t>Nivel 1 — Invisible · Lo que cuesta reconocer · patrones 1–17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Grooming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Una persona adulta gana la confianza de un menor por internet para abusar sexualmente de él o ella.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Instrumento separado de protección para edad y relación de poder.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Love bombing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llena de regalos, atención y promesas intensas muy rápido para crear dependencia y bajar tus defensas.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Educación fuera del cuestionario; una pregunta breve tendría baja especificidad sin contexto y evolución.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Breadcrumbing / Dar migajas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da atención intermitente —un mensaje, un like, una aparición— para que sigas esperando sin ofrecer una relación real.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Educación o módulo de claridad relacional.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Bromas hirientes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Comentarios disfrazados de broma que te lastiman o te ridiculizan; si te quejas, te dicen que 'no aguantas nada'.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Gaslighting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hace dudar de tu memoria: niega cosas que ocurrieron y te dice que exageras o que estás 'loca'.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6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Chantajear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presiona con amenazas, culpa o premios para que hagas lo que quiere: 'si me quisieras, lo harías'.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C-012; de familia en C-003 y CS-003.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7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Invalidación emocional / Negar tus sentimientos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dice que exageras o que no deberías sentirte así, hasta que dejas de confiar en tus propias señales emocionales.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8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Convertir necesidades en exigencias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Presenta tus peticiones normales de atención o claridad como prueba de que eres intensa, necesitada o controladora.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9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Normalizar el daño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Usa frases como ‘todas las parejas son así’ para presentar un patrón dañino como algo inevitable o sin importancia.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C-004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10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Crítica constante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critica sin parar —tu cuerpo, tus ideas, lo que haces— hasta desgastar tu autoestima.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Indiferencia, ley del hielo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castiga con silencio y frialdad para controlarte sin decir una sola palabra.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C-003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Celar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Desconfía sin motivo y vigila con quién hablas; disfraza el control de 'amor'.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C-005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Mentir, engañar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miente, oculta cosas o distorsiona lo que pasó para manipularte y salirse con la suya.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La relación con Q-003 era sólo posible. El candidato no trata la mentira aislada como señal suficiente de seguridad o coerción.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Negligencia emocional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No pregunta, no escucha ni responde de forma constante; aprendes que tus necesidades no importan y dejas de expresarlas.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Educación o módulo de reciprocidad; requiere contexto, duración y expectativas.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15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Retirar afecto como castigo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quita el cariño, el contacto o la cercanía emocional para castigarte y condicionar tu comportamiento.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C-003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16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Control coercitivo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Construye un sistema de reglas y vigilancia que reduce poco a poco tu libertad, autonomía y capacidad de decidir.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C-001, C-005 y C-007; de familia en C-006, C-010 y C-012.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17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Ghostear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Desaparece de golpe —deja de contestar y te ignora— para evitar responsabilidad o mantenerte en ascuas.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Educación o módulo de claridad relacional.</w:t>
            </w:r>
          </w:p>
        </w:tc>
      </w:tr>
    </w:tbl>
    <w:p>
      <w:pPr>
        <w:spacing w:after="40"/>
      </w:pPr>
    </w:p>
    <w:p>
      <w:pPr>
        <w:pStyle w:val="Heading2"/>
      </w:pPr>
      <w:r>
        <w:t>Nivel 2 — Normalizado · patrones 18–30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18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Rechazar responsabilidad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Nunca se hace cargo del impacto de lo que hizo: siempre hay una excusa, una minimización o una forma de cerrar la conversación.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C-004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19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Prometer cambiar sin hacerlo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Promete que será diferente para recuperar la calma, pero el comportamiento vuelve sin cambios sostenidos.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C-004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20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Culpabilizar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hace responsable de todo lo que sale mal, incluso de su propia conducta: 'me hiciste enojar'.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 y C-004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Scapegoating / Convertirte en culpable de todo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asigna el papel de causa de todos los problemas, incluso cuando los hechos no dependen de ti.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Descalificar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Invalida de forma constante tus capacidades, opiniones o valor hasta hacerte dudar de ti.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Ridiculizar, ofender, humillar en público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Se burla, te ofende o te humilla delante de otras personas para rebajarte.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Humillar en público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expone, ridiculiza o avergüenza delante de otras personas para reducir tu voz y aislarte.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25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Stalkear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persigue y vigila en redes o en persona: revisa tu teléfono, te rastrea, aparece donde estás.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C-006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26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Vigilancia digital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Controla tu ubicación, mensajes, contraseñas o actividad digital para saber dónde estás y con quién hablas.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C-006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27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Orbiting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Deja de hablarte, pero sigue observando e interactuando con tu actividad en redes para mantenerse presente.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C-006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28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Sextorsión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chantajea con imágenes o información sexual para obligarte a hacer algo o a no dejarlo.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C-009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29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Ciberacoso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acosa, insulta o difunde rumores por internet, mensajes o redes sociales.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C-009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30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Shaming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avergüenza por tu cuerpo, tu pasado o tu sexualidad para humillarte y controlarte.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C-002</w:t>
            </w:r>
          </w:p>
        </w:tc>
      </w:tr>
    </w:tbl>
    <w:p>
      <w:pPr>
        <w:spacing w:after="40"/>
      </w:pPr>
    </w:p>
    <w:p>
      <w:pPr>
        <w:pStyle w:val="Heading2"/>
      </w:pPr>
      <w:r>
        <w:t>Nivel 3 — Riesgo · patrones 31–38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Intimidar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asusta con gritos, miradas, gestos o golpeando objetos para que le tengas miedo y obedezcas.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C-001, C-010 y C-012; de familia en CS-003.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Controlar, prohibir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Decide por ti: qué ropa usas, a dónde vas, con quién hablas; te prohíbe cosas para limitar tu libertad.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C-001, C-005 y C-007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Prohibir trabajar o estudiar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Impide o sabotea tu trabajo o estudios para limitar tu independencia y tus opciones.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C-005 y C-007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Aislar de amistades y familia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aleja de las personas que te apoyan mediante críticas, conflictos, culpa o prohibiciones.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C-005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35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Control económico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Controla tu dinero, te lo quita o te impide trabajar o estudiar para hacerte dependiente.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C-007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36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Destruir artículos personales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Rompe o daña tus cosas —teléfono, ropa, objetos con valor— como amenaza y castigo.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C-010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37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Difundir contenido íntimo sin consentimiento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Comparte o amenaza con compartir imágenes, vídeos o información íntima sin tu permiso.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C-009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38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Doxing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Publica o difunde tus datos privados —dirección, teléfono, fotos— para exponerte o ponerte en peligro.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C-009</w:t>
            </w:r>
          </w:p>
        </w:tc>
      </w:tr>
    </w:tbl>
    <w:p>
      <w:pPr>
        <w:spacing w:after="40"/>
      </w:pPr>
    </w:p>
    <w:p>
      <w:pPr>
        <w:pStyle w:val="Heading2"/>
      </w:pPr>
      <w:r>
        <w:t>Nivel 4 — Peligro · patrones 39–44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39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Manosear, caricias agresivas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toca o acaricia de forma agresiva o sin tu consentimiento.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40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Caricias agresivas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toca con fuerza o de una forma que duele, invade o asusta, aunque lo presente como afecto.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Golpear jugando, pellizcar o arañar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lastima 'jugando' —pellizcos, arañazos, golpes 'de cariño'— y minimiza el daño.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Pellizcar, arañar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pellizca o araña para lastimarte, marcarte, castigarte o intimidarte.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Empujar, jalonear, cachetear y/o patear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Usa la fuerza física contra ti: empujones, jalones, cachetadas o patadas.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Cachetear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golpea con la mano abierta en la cara o en otra parte del cuerpo.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</w:tbl>
    <w:p>
      <w:pPr>
        <w:spacing w:after="40"/>
      </w:pPr>
    </w:p>
    <w:p>
      <w:pPr>
        <w:pStyle w:val="Heading2"/>
      </w:pPr>
      <w:r>
        <w:t>Nivel 5 — Emergencia · patrones 45–50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45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Patear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golpea con el pie para hacerte daño, someterte o impedir que te muevas.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46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Encerrar y aislar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encierra o te aísla de tu familia y amistades para dejarte sin apoyo y bajo su control.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C-010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47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Amenazar con objetos o armas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amenaza con objetos o armas para intimidarte o someterte.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C-010 y CS-002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48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Amenazar de muerte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amenaza con matarte a ti, a quien quieres o a sí mismo.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C-012 y CS-003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49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Forzar una relación sexual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presiona, amenaza o obliga a participar en actividad sexual que no deseas.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C-008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50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Abuso sexual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Realiza cualquier acto sexual contigo sin tu consentimiento.</w:t>
            </w:r>
          </w:p>
        </w:tc>
        <w:tc>
          <w:tcPr>
            <w:tcW w:type="dxa" w:w="2220"/>
            <w:vAlign w:val="center"/>
            <w:shd w:fill="E9F3EF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2F6757"/>
                <w:sz w:val="16"/>
              </w:rPr>
              <w:t>Directa</w:t>
              <w:br/>
              <w:t>C-008</w:t>
            </w:r>
          </w:p>
        </w:tc>
      </w:tr>
    </w:tbl>
    <w:p>
      <w:pPr>
        <w:spacing w:after="40"/>
      </w:pPr>
    </w:p>
    <w:p>
      <w:pPr>
        <w:pStyle w:val="Heading2"/>
      </w:pPr>
      <w:r>
        <w:t>Nivel 6 — Riesgo mortal · patrones 51–54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"/>
        <w:gridCol w:w="2300"/>
        <w:gridCol w:w="4270"/>
        <w:gridCol w:w="2220"/>
      </w:tblGrid>
      <w:tr>
        <w:trPr>
          <w:tblHeader w:val="true"/>
          <w:cantSplit w:val="true"/>
        </w:trPr>
        <w:tc>
          <w:tcPr>
            <w:tcW w:type="dxa" w:w="5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Núm.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Patrón</w:t>
            </w:r>
          </w:p>
        </w:tc>
        <w:tc>
          <w:tcPr>
            <w:tcW w:type="dxa" w:w="427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Descripción breve</w:t>
            </w:r>
          </w:p>
        </w:tc>
        <w:tc>
          <w:tcPr>
            <w:tcW w:type="dxa" w:w="22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Relación y preguntas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51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Violar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obliga a tener relaciones sexuales por la fuerza, con amenazas o cuando no puedes consentir.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C-008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52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Mutilar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causa heridas graves o mutilaciones en el cuerpo.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C-011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53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Ataques con ácido o sustancias corrosivas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Te agrede con ácido o sustancias corrosivas para herirte y marcarte de por vida.</w:t>
            </w:r>
          </w:p>
        </w:tc>
        <w:tc>
          <w:tcPr>
            <w:tcW w:type="dxa" w:w="2220"/>
            <w:vAlign w:val="center"/>
            <w:shd w:fill="FBF5E6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A6D1D"/>
                <w:sz w:val="16"/>
              </w:rPr>
              <w:t>De familia</w:t>
              <w:br/>
              <w:t>C-011 como paraguas de lesión física; no se menciona de forma separada.</w:t>
            </w:r>
          </w:p>
        </w:tc>
      </w:tr>
      <w:tr>
        <w:trPr>
          <w:cantSplit w:val="true"/>
        </w:trPr>
        <w:tc>
          <w:tcPr>
            <w:tcW w:type="dxa" w:w="5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54</w:t>
            </w:r>
          </w:p>
        </w:tc>
        <w:tc>
          <w:tcPr>
            <w:tcW w:type="dxa" w:w="23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Asesinar / Feminicidio</w:t>
            </w:r>
          </w:p>
        </w:tc>
        <w:tc>
          <w:tcPr>
            <w:tcW w:type="dxa" w:w="427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El asesinato de una mujer por razón de género.</w:t>
            </w:r>
          </w:p>
        </w:tc>
        <w:tc>
          <w:tcPr>
            <w:tcW w:type="dxa" w:w="2220"/>
            <w:vAlign w:val="center"/>
            <w:shd w:fill="F7ECEC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8B3A3A"/>
                <w:sz w:val="16"/>
              </w:rPr>
              <w:t>Fuera</w:t>
              <w:br/>
              <w:t>No es preguntable como experiencia propia. Se conservan señales de peligro sin afirmar capacidad predictiva.</w:t>
            </w:r>
          </w:p>
        </w:tc>
      </w:tr>
    </w:tbl>
    <w:p>
      <w:pPr>
        <w:spacing w:after="40"/>
      </w:pPr>
    </w:p>
    <w:p>
      <w:pPr>
        <w:pStyle w:val="Heading1"/>
      </w:pPr>
      <w:r>
        <w:t>Parte III · Lo que no se convierte en una pregunta propia</w:t>
      </w:r>
    </w:p>
    <w:p>
      <w:r>
        <w:t>Mantener un patrón fuera de una pregunta directa no significa que sea irrelevante. Puede necesitar otro instrumento, más contexto o una forma de orientación que no dependa de una respuesta separada.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2450"/>
        <w:gridCol w:w="4560"/>
      </w:tblGrid>
      <w:tr>
        <w:trPr>
          <w:tblHeader w:val="true"/>
          <w:cantSplit w:val="true"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Patrón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Disposición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Razón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1 · Grooming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Instrumento separado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Requiere un marco explícito de minoría de edad, relación de poder, consentimiento y protección. Añadirlo a una revisión general no ofrece ese marco.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2 · Love bombing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Educación fuera del cuestionario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La intensidad temprana puede coexistir con afecto no coercitivo. Sin evolución posterior, pérdida de libertad o presión, una pregunta breve tendría baja especificidad.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3 · Breadcrumbing / Dar migajas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Educación o módulo de claridad relacional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Describe inconsistencia y expectativas de relación más que una señal suficiente de miedo, coerción o peligro. La intención también puede ser difícil de conocer.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13 · Mentir, engañar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Fuera de la cobertura prevista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La relación con Q-003 era sólo posible. El candidato no trata la mentira aislada como señal suficiente de seguridad o coerción.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14 · Negligencia emocional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Educación o módulo de reciprocidad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Puede describir una relación insatisfactoria o incompatible sin coerción. Requiere contexto, duración y expectativas que una revisión breve no puede establecer.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17 · Ghostear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Educación o módulo de claridad relacional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La desaparición puede causar daño, pero una pregunta breve no distingue bien evitación, ruptura, imposibilidad de contacto o táctica de control.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53 · Ataques con ácido o sustancias corrosivas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Representación por paraguas; sin mención separada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Una agresión ya ocurrida cabe en daño físico grave. Nombrar cada mecanismo extremo alarga y endurece la lista sin cambiar la orientación inmediata. Debe permanecer visible en el gradiente y en información de emergencia.</w:t>
            </w:r>
          </w:p>
        </w:tc>
      </w:tr>
      <w:tr>
        <w:trPr>
          <w:cantSplit w:val="true"/>
        </w:trPr>
        <w:tc>
          <w:tcPr>
            <w:tcW w:type="dxa" w:w="235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54 · Asesinar / Feminicidio</w:t>
            </w:r>
          </w:p>
        </w:tc>
        <w:tc>
          <w:tcPr>
            <w:tcW w:type="dxa" w:w="24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No preguntable directamente</w:t>
            </w:r>
          </w:p>
        </w:tc>
        <w:tc>
          <w:tcPr>
            <w:tcW w:type="dxa" w:w="45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La persona asesinada no puede responder. Las amenazas de muerte, armas, estrangulamiento y escalada sí pueden preguntarse, sin presentarlas como predicción de feminicidio.</w:t>
            </w:r>
          </w:p>
        </w:tc>
      </w:tr>
    </w:tbl>
    <w:p>
      <w:pPr>
        <w:pStyle w:val="Heading2"/>
      </w:pPr>
      <w:r>
        <w:t>Fenómenos sin patrón dedicado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1500"/>
        <w:gridCol w:w="5160"/>
      </w:tblGrid>
      <w:tr>
        <w:trPr>
          <w:tblHeader w:val="true"/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Fenómeno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Pregunta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  <w:vAlign w:val="center"/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Relación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Coerción reproductiva</w:t>
            </w:r>
          </w:p>
        </w:tc>
        <w:tc>
          <w:tcPr>
            <w:tcW w:type="dxa" w:w="15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C-008</w:t>
            </w:r>
          </w:p>
        </w:tc>
        <w:tc>
          <w:tcPr>
            <w:tcW w:type="dxa" w:w="51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Se pregunta junto con coerción sexual; no tiene un patrón reproductivo propio.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Dañar animales o conducir peligrosamente</w:t>
            </w:r>
          </w:p>
        </w:tc>
        <w:tc>
          <w:tcPr>
            <w:tcW w:type="dxa" w:w="15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C-010</w:t>
            </w:r>
          </w:p>
        </w:tc>
        <w:tc>
          <w:tcPr>
            <w:tcW w:type="dxa" w:w="51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Formas de intimidación sin patrón dedicado.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Quemar, estrangular o dificultar la respiración</w:t>
            </w:r>
          </w:p>
        </w:tc>
        <w:tc>
          <w:tcPr>
            <w:tcW w:type="dxa" w:w="15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C-011, CS-001</w:t>
            </w:r>
          </w:p>
        </w:tc>
        <w:tc>
          <w:tcPr>
            <w:tcW w:type="dxa" w:w="51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Daño físico y riesgo específico sin patrón dedicado.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Amenazas de autolesión o contra animales</w:t>
            </w:r>
          </w:p>
        </w:tc>
        <w:tc>
          <w:tcPr>
            <w:tcW w:type="dxa" w:w="15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C-012, CS-003</w:t>
            </w:r>
          </w:p>
        </w:tc>
        <w:tc>
          <w:tcPr>
            <w:tcW w:type="dxa" w:w="51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Quedan parcialmente dentro de amenazas y chantaje.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7212B"/>
                <w:sz w:val="17"/>
              </w:rPr>
              <w:t>Escalada reciente</w:t>
            </w:r>
          </w:p>
        </w:tc>
        <w:tc>
          <w:tcPr>
            <w:tcW w:type="dxa" w:w="150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17"/>
              </w:rPr>
              <w:t>C-013</w:t>
            </w:r>
          </w:p>
        </w:tc>
        <w:tc>
          <w:tcPr>
            <w:tcW w:type="dxa" w:w="51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7"/>
              </w:rPr>
              <w:t>Modificador transversal de frecuencia, imprevisibilidad, miedo o gravedad.</w:t>
            </w:r>
          </w:p>
        </w:tc>
      </w:tr>
    </w:tbl>
    <w:p>
      <w:pPr>
        <w:pStyle w:val="Heading1"/>
      </w:pPr>
      <w:r>
        <w:t>Preguntas para la revisión experta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8710"/>
      </w:tblGrid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1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¿Las 13 preguntas principales son claras y contestables sin explicación adicional?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2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¿Alguna de las preguntas combinadas —C-001, C-002, C-006, C-008 o C-011— necesita dividirse?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3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¿C-004 necesita una opción como “No he hablado de esto” para no confundir esa situación con una respuesta negativa?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4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¿C-003 describe el silencio o afecto retirado sin pedir que la persona adivine la intención de la otra persona?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5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¿Las relaciones directas, de familia y fuera están bien diferenciadas, especialmente para los patrones 13 y 51 a 53?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chivo" w:hAnsi="Archivo"/>
                <w:b/>
                <w:color w:val="1F4D78"/>
                <w:sz w:val="22"/>
              </w:rPr>
              <w:t>6</w:t>
            </w:r>
          </w:p>
        </w:tc>
        <w:tc>
          <w:tcPr>
            <w:tcW w:type="dxa" w:w="871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9"/>
              </w:rPr>
              <w:t>¿Qué redacciones conviene ajustar antes de una prueba cognitiva con personas usuarias?</w:t>
              <w:br/>
              <w:br/>
              <w:t>Notas: __________________________________________________________</w:t>
              <w:br/>
              <w:t>________________________________________________________________</w:t>
            </w:r>
          </w:p>
        </w:tc>
      </w:tr>
    </w:tbl>
    <w:p>
      <w:pPr>
        <w:pStyle w:val="Heading1"/>
      </w:pPr>
      <w:r>
        <w:t>Procedencia y estado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Línea base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SRC-001 · Revisión de seguridad en tu relación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Patrones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SRC-002 · Inventario activo de 54 patrones de El Gradiente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Requisitos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AN-003 · Requisitos derivados de los patrones no representados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Candidato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DES-001 · Primera arquitectura candidata · versión 0.1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Mapa del candidato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AN-004 · Mapa completo de la arquitectura candidata v0.1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Método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M-002 · Protocolo de diseño del cuestionario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Fecha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1 de septiembre de 2026</w:t>
            </w:r>
          </w:p>
        </w:tc>
      </w:tr>
      <w:tr>
        <w:tc>
          <w:tcPr>
            <w:tcW w:type="dxa" w:w="2700"/>
            <w:vAlign w:val="center"/>
            <w:shd w:fill="E8EEF5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/>
                <w:color w:val="1F4D78"/>
                <w:sz w:val="18"/>
              </w:rPr>
              <w:t>Estado</w:t>
            </w:r>
          </w:p>
        </w:tc>
        <w:tc>
          <w:tcPr>
            <w:tcW w:type="dxa" w:w="6660"/>
            <w:vAlign w:val="center"/>
            <w:tcBorders>
              <w:top w:val="single" w:sz="6" w:color="CCD5DF"/>
              <w:start w:val="single" w:sz="6" w:color="CCD5DF"/>
              <w:bottom w:val="single" w:sz="6" w:color="CCD5DF"/>
              <w:end w:val="single" w:sz="6" w:color="CCD5DF"/>
              <w:insideH w:val="single" w:sz="6" w:color="CCD5DF"/>
              <w:insideV w:val="single" w:sz="6" w:color="CCD5DF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chivo" w:hAnsi="Archivo"/>
                <w:b w:val="0"/>
                <w:color w:val="17212B"/>
                <w:sz w:val="18"/>
              </w:rPr>
              <w:t>Candidato · pendiente de revisión de Anna, Martha y pruebas cognitivas</w:t>
            </w:r>
          </w:p>
        </w:tc>
      </w:tr>
    </w:tbl>
    <w:p>
      <w:pPr>
        <w:spacing w:before="320" w:after="0"/>
        <w:jc w:val="center"/>
      </w:pPr>
      <w:r>
        <w:rPr>
          <w:rFonts w:ascii="Archivo" w:hAnsi="Archivo"/>
          <w:i/>
          <w:color w:val="5F6B76"/>
          <w:sz w:val="20"/>
        </w:rPr>
        <w:t>Las observaciones se incorporarán al siguiente candidato conservando qué cambió, quién lo revisó y por qué.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ource Serif 4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chivo" w:hAnsi="Archivo"/>
        <w:color w:val="5F6B76"/>
        <w:sz w:val="17"/>
      </w:rPr>
      <w:t xml:space="preserve">TEG-Blue  ·  1 septiembre 2026  ·  </w:t>
    </w:r>
    <w:r>
      <w:rPr>
        <w:rFonts w:ascii="Archivo" w:hAnsi="Archivo"/>
        <w:color w:val="5F6B76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chivo" w:hAnsi="Archivo"/>
        <w:b/>
        <w:color w:val="5F6B76"/>
        <w:sz w:val="16"/>
      </w:rPr>
      <w:t>EL GRADIENTE RESEARCH TRAIL  /  DOCUMENTO DE REVISIÓN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Source Serif 4" w:hAnsi="Source Serif 4"/>
      <w:color w:val="17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Source Serif 4" w:hAnsi="Source Serif 4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Source Serif 4" w:hAnsi="Source Serif 4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Source Serif 4" w:hAnsi="Source Serif 4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Source Serif 4" w:hAnsi="Source Serif 4"/>
      <w:b/>
      <w:color w:val="1F4D7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Source Serif 4" w:hAnsi="Source Serif 4"/>
      <w:b w:val="0"/>
      <w:i/>
      <w:iCs/>
      <w:color w:val="5F6B76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ource Serif 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ource Serif 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candidato y mapa de patrones</dc:title>
  <dc:subject>Documento de revisión de la arquitectura candidata v0.1 · Dra. Martha Alicia Tronco Rosas (revisión experta) y Anna Paretas-Artacho (dirección del programa)</dc:subject>
  <dc:creator>El Gradiente Research Trail / TEG-Blue</dc:creator>
  <cp:keywords>El Gradiente, cuestionario, candidato, patrones, revisión</cp:keywords>
  <dc:description>Generado desde SRC-001, SRC-002, AN-003, DES-001, AN-004 y M-002. No contiene respuestas personales.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